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96" w:rsidRDefault="00267D96" w:rsidP="00267D96">
      <w:pPr>
        <w:spacing w:after="0" w:line="240" w:lineRule="auto"/>
        <w:jc w:val="center"/>
        <w:rPr>
          <w:rFonts w:eastAsia="Times New Roman" w:cs="Times New Roman"/>
          <w:b/>
          <w:bCs/>
          <w:sz w:val="28"/>
          <w:lang w:eastAsia="es-CO"/>
        </w:rPr>
      </w:pPr>
    </w:p>
    <w:p w:rsidR="00267D96" w:rsidRDefault="00267D96" w:rsidP="00267D96">
      <w:pPr>
        <w:spacing w:after="0" w:line="240" w:lineRule="auto"/>
        <w:jc w:val="center"/>
        <w:rPr>
          <w:rFonts w:eastAsia="Times New Roman" w:cs="Times New Roman"/>
          <w:b/>
          <w:bCs/>
          <w:sz w:val="28"/>
          <w:lang w:eastAsia="es-CO"/>
        </w:rPr>
      </w:pPr>
    </w:p>
    <w:p w:rsidR="00267D96" w:rsidRPr="00267D96" w:rsidRDefault="00267D96" w:rsidP="00267D96">
      <w:pPr>
        <w:spacing w:after="0" w:line="240" w:lineRule="auto"/>
        <w:jc w:val="center"/>
        <w:rPr>
          <w:rFonts w:eastAsia="Times New Roman" w:cs="Times New Roman"/>
          <w:szCs w:val="24"/>
          <w:lang w:eastAsia="es-CO"/>
        </w:rPr>
      </w:pPr>
      <w:bookmarkStart w:id="0" w:name="_GoBack"/>
      <w:bookmarkEnd w:id="0"/>
      <w:r w:rsidRPr="00267D96">
        <w:rPr>
          <w:rFonts w:eastAsia="Times New Roman" w:cs="Times New Roman"/>
          <w:b/>
          <w:bCs/>
          <w:sz w:val="28"/>
          <w:lang w:eastAsia="es-CO"/>
        </w:rPr>
        <w:t>Resolución Nº 73446</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sz w:val="28"/>
          <w:lang w:eastAsia="es-CO"/>
        </w:rPr>
        <w:t>29-09-</w:t>
      </w:r>
      <w:r w:rsidRPr="00267D96">
        <w:rPr>
          <w:rFonts w:eastAsia="Times New Roman" w:cs="Times New Roman"/>
          <w:b/>
          <w:bCs/>
          <w:sz w:val="28"/>
          <w:lang w:eastAsia="es-CO"/>
        </w:rPr>
        <w:t>2015</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sz w:val="28"/>
          <w:lang w:eastAsia="es-CO"/>
        </w:rPr>
        <w:t>Superintendencia de Industria y Comercio</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i/>
          <w:iCs/>
          <w:sz w:val="22"/>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i/>
          <w:iCs/>
          <w:sz w:val="22"/>
          <w:lang w:eastAsia="es-CO"/>
        </w:rPr>
        <w:t> </w:t>
      </w:r>
    </w:p>
    <w:p w:rsidR="00267D96" w:rsidRPr="00267D96" w:rsidRDefault="00267D96" w:rsidP="00267D96">
      <w:pPr>
        <w:spacing w:after="0" w:line="240" w:lineRule="auto"/>
        <w:jc w:val="center"/>
        <w:rPr>
          <w:rFonts w:eastAsia="Times New Roman" w:cs="Times New Roman"/>
          <w:szCs w:val="24"/>
          <w:lang w:eastAsia="es-CO"/>
        </w:rPr>
      </w:pPr>
      <w:proofErr w:type="gramStart"/>
      <w:r w:rsidRPr="00267D96">
        <w:rPr>
          <w:rFonts w:eastAsia="Times New Roman" w:cs="Times New Roman"/>
          <w:i/>
          <w:iCs/>
          <w:sz w:val="22"/>
          <w:lang w:eastAsia="es-CO"/>
        </w:rPr>
        <w:t>por</w:t>
      </w:r>
      <w:proofErr w:type="gramEnd"/>
      <w:r w:rsidRPr="00267D96">
        <w:rPr>
          <w:rFonts w:eastAsia="Times New Roman" w:cs="Times New Roman"/>
          <w:i/>
          <w:iCs/>
          <w:sz w:val="22"/>
          <w:lang w:eastAsia="es-CO"/>
        </w:rPr>
        <w:t xml:space="preserve"> la cual se fijan las tasas de propiedad industrial y se modifica la Circular Única del 19 de julio de 2001.</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2"/>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2"/>
          <w:lang w:eastAsia="es-CO"/>
        </w:rPr>
        <w:t>El Secretario General, en ejercicio de las facultades legales, en especial las que se le confieren en el artículo 277 de la Decisión número 486 de la Comisión de la Comunidad Andina de Naciones y el numeral 20 del artículo 22 del Decreto número 4886 de 2011,</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 w:val="22"/>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 w:val="22"/>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sz w:val="22"/>
          <w:lang w:eastAsia="es-CO"/>
        </w:rPr>
        <w:t>RESUELVE:</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b/>
          <w:sz w:val="22"/>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b/>
          <w:sz w:val="22"/>
          <w:lang w:eastAsia="es-CO"/>
        </w:rPr>
        <w:t>Artículo 1º.</w:t>
      </w:r>
      <w:r w:rsidRPr="00267D96">
        <w:rPr>
          <w:rFonts w:eastAsia="Times New Roman" w:cs="Times New Roman"/>
          <w:sz w:val="22"/>
          <w:lang w:eastAsia="es-CO"/>
        </w:rPr>
        <w:t xml:space="preserve"> Modifíquese el Capítulo Primero del Título X de la Circular única del 19 de julio de 2001, relativo a las tasas aplicables a los trámites de propiedad industrial, el cual quedará así:</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 w:val="22"/>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sz w:val="22"/>
          <w:lang w:eastAsia="es-CO"/>
        </w:rPr>
        <w:t>CAPÍTULO I</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Cs w:val="24"/>
          <w:lang w:eastAsia="es-CO"/>
        </w:rPr>
        <w:t>Parte General</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
        <w:gridCol w:w="5782"/>
        <w:gridCol w:w="1016"/>
        <w:gridCol w:w="101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Tasas de Propiedad Industrial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 </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Tasas de Nuevas Creaciones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 </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1.1.1.1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Solicitudes Nacionales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Solicitud de patente de invención (contiene el derecho de presentar las 10 primeras reivindicaciones)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64.000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80.000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 w:val="20"/>
                <w:szCs w:val="20"/>
                <w:lang w:eastAsia="es-CO"/>
              </w:rPr>
            </w:pPr>
            <w:r w:rsidRPr="00267D96">
              <w:rPr>
                <w:rFonts w:eastAsia="Times New Roman" w:cs="Times New Roman"/>
                <w:sz w:val="20"/>
                <w:szCs w:val="20"/>
                <w:lang w:eastAsia="es-CO"/>
              </w:rPr>
              <w:t>Solicitud de patente de modelo de utilidad (contiene el derecho de presentar las 10 primeras reivindicaciones)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56.000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70.000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 w:val="20"/>
                <w:szCs w:val="20"/>
                <w:lang w:eastAsia="es-CO"/>
              </w:rPr>
            </w:pPr>
            <w:r w:rsidRPr="00267D96">
              <w:rPr>
                <w:rFonts w:eastAsia="Times New Roman" w:cs="Times New Roman"/>
                <w:sz w:val="20"/>
                <w:szCs w:val="20"/>
                <w:lang w:eastAsia="es-CO"/>
              </w:rPr>
              <w:t>Reivindicación adicional para Patente de Invención (a partir de la undécima 11 reivindicación)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33.000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40.000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Reivindicación adicional para Modelo de Utilidad (a partir de la undécima 11 reivindicación)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17.000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20.000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 w:val="20"/>
                <w:szCs w:val="20"/>
                <w:lang w:eastAsia="es-CO"/>
              </w:rPr>
            </w:pPr>
            <w:r w:rsidRPr="00267D96">
              <w:rPr>
                <w:rFonts w:eastAsia="Times New Roman" w:cs="Times New Roman"/>
                <w:sz w:val="20"/>
                <w:szCs w:val="20"/>
                <w:lang w:eastAsia="es-CO"/>
              </w:rPr>
              <w:t>Solicitud de registro de esquema de trazado de circuitos integrados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549.000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659.000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Solicitud de registro de diseño industrial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549.000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659.000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Solicitud de Licencia Obligatoria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1.688.000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Invocación de una prioridad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177.000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216.000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 xml:space="preserve">Examen de </w:t>
            </w:r>
            <w:proofErr w:type="spellStart"/>
            <w:r w:rsidRPr="00267D96">
              <w:rPr>
                <w:rFonts w:eastAsia="Times New Roman" w:cs="Times New Roman"/>
                <w:sz w:val="20"/>
                <w:szCs w:val="20"/>
                <w:lang w:eastAsia="es-CO"/>
              </w:rPr>
              <w:t>patentabilidad</w:t>
            </w:r>
            <w:proofErr w:type="spellEnd"/>
            <w:r w:rsidRPr="00267D96">
              <w:rPr>
                <w:rFonts w:eastAsia="Times New Roman" w:cs="Times New Roman"/>
                <w:sz w:val="20"/>
                <w:szCs w:val="20"/>
                <w:lang w:eastAsia="es-CO"/>
              </w:rPr>
              <w:t xml:space="preserve"> de patente de invención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1.068.000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1.279.000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1.1.1.1.10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 xml:space="preserve">Examen de </w:t>
            </w:r>
            <w:proofErr w:type="spellStart"/>
            <w:r w:rsidRPr="00267D96">
              <w:rPr>
                <w:rFonts w:eastAsia="Times New Roman" w:cs="Times New Roman"/>
                <w:sz w:val="20"/>
                <w:szCs w:val="20"/>
                <w:lang w:eastAsia="es-CO"/>
              </w:rPr>
              <w:t>patentabilidad</w:t>
            </w:r>
            <w:proofErr w:type="spellEnd"/>
            <w:r w:rsidRPr="00267D96">
              <w:rPr>
                <w:rFonts w:eastAsia="Times New Roman" w:cs="Times New Roman"/>
                <w:sz w:val="20"/>
                <w:szCs w:val="20"/>
                <w:lang w:eastAsia="es-CO"/>
              </w:rPr>
              <w:t xml:space="preserve"> de modelo de utilidad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603.000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 w:val="20"/>
                <w:szCs w:val="20"/>
                <w:lang w:eastAsia="es-CO"/>
              </w:rPr>
            </w:pPr>
            <w:r w:rsidRPr="00267D96">
              <w:rPr>
                <w:rFonts w:eastAsia="Times New Roman" w:cs="Times New Roman"/>
                <w:sz w:val="20"/>
                <w:szCs w:val="20"/>
                <w:lang w:eastAsia="es-CO"/>
              </w:rPr>
              <w:t>720.000</w:t>
            </w:r>
          </w:p>
        </w:tc>
      </w:tr>
    </w:tbl>
    <w:p w:rsidR="00267D96" w:rsidRPr="00267D96" w:rsidRDefault="00267D96" w:rsidP="00267D96">
      <w:pPr>
        <w:spacing w:after="0" w:line="240" w:lineRule="auto"/>
        <w:jc w:val="both"/>
        <w:rPr>
          <w:rFonts w:eastAsia="Times New Roman" w:cs="Times New Roman"/>
          <w:sz w:val="20"/>
          <w:szCs w:val="20"/>
          <w:lang w:eastAsia="es-CO"/>
        </w:rPr>
      </w:pPr>
      <w:r w:rsidRPr="00267D96">
        <w:rPr>
          <w:rFonts w:eastAsia="Times New Roman" w:cs="Times New Roman"/>
          <w:sz w:val="20"/>
          <w:szCs w:val="20"/>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b/>
          <w:bCs/>
          <w:szCs w:val="24"/>
          <w:lang w:eastAsia="es-CO"/>
        </w:rPr>
        <w:t>1.1.1.2 Solicitudes Internacionales –PCT– (Tratado de Cooperación en Materia de Patentes)</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
        <w:gridCol w:w="6632"/>
        <w:gridCol w:w="266"/>
        <w:gridCol w:w="86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lang w:eastAsia="es-CO"/>
              </w:rPr>
              <w:t>1.1.1.2.1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lang w:eastAsia="es-CO"/>
              </w:rPr>
              <w:t>Fase Internacional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 </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1.1.1.2.1.1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lang w:eastAsia="es-CO"/>
              </w:rPr>
              <w:t>Transmisión de solicitudes internacionales radicadas en la Superintendencia de Industria y Comercio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952.000</w:t>
            </w:r>
          </w:p>
        </w:tc>
      </w:tr>
    </w:tbl>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
        <w:gridCol w:w="5849"/>
        <w:gridCol w:w="899"/>
        <w:gridCol w:w="101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lang w:eastAsia="es-CO"/>
              </w:rPr>
              <w:t>1.1.1.2.2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lang w:eastAsia="es-CO"/>
              </w:rPr>
              <w:t>Fase Nacional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1.1.1.2.2.1</w:t>
            </w:r>
          </w:p>
        </w:tc>
        <w:tc>
          <w:tcPr>
            <w:tcW w:w="5935" w:type="dxa"/>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Solicitud de patente de invención (contiene el derecho de presentar las 10 primeras reivindicaciones)</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64.000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80.000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1.1.1.2.2.2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lang w:eastAsia="es-CO"/>
              </w:rPr>
              <w:t>Solicitud de patente de modelo de utilidad (contiene el derecho de presentar las 10 primeras reivindicaciones)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56.000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70.000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1.1.1.2.2.3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lang w:eastAsia="es-CO"/>
              </w:rPr>
              <w:t>Reivindicación adicional (a partir de la undécima reivindicación incluida en la solicitud inicial o durante el trámite)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33.000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40.000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1.1.1.2.2.4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Reivindicación adicional para Modelo de Utilidad (a partir de la undécima reivindicación)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17.000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20.000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lastRenderedPageBreak/>
              <w:t>1.1.1.2.2.5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 xml:space="preserve">Examen de </w:t>
            </w:r>
            <w:proofErr w:type="spellStart"/>
            <w:r w:rsidRPr="00267D96">
              <w:rPr>
                <w:rFonts w:eastAsia="Times New Roman" w:cs="Times New Roman"/>
                <w:sz w:val="20"/>
                <w:lang w:eastAsia="es-CO"/>
              </w:rPr>
              <w:t>patentabilidad</w:t>
            </w:r>
            <w:proofErr w:type="spellEnd"/>
            <w:r w:rsidRPr="00267D96">
              <w:rPr>
                <w:rFonts w:eastAsia="Times New Roman" w:cs="Times New Roman"/>
                <w:sz w:val="20"/>
                <w:lang w:eastAsia="es-CO"/>
              </w:rPr>
              <w:t xml:space="preserve"> de patente de invención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932.000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1.120.000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1.1.1.2.2.6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 xml:space="preserve">Examen de </w:t>
            </w:r>
            <w:proofErr w:type="spellStart"/>
            <w:r w:rsidRPr="00267D96">
              <w:rPr>
                <w:rFonts w:eastAsia="Times New Roman" w:cs="Times New Roman"/>
                <w:sz w:val="20"/>
                <w:lang w:eastAsia="es-CO"/>
              </w:rPr>
              <w:t>patentabilidad</w:t>
            </w:r>
            <w:proofErr w:type="spellEnd"/>
            <w:r w:rsidRPr="00267D96">
              <w:rPr>
                <w:rFonts w:eastAsia="Times New Roman" w:cs="Times New Roman"/>
                <w:sz w:val="20"/>
                <w:lang w:eastAsia="es-CO"/>
              </w:rPr>
              <w:t xml:space="preserve"> de modelo de utilidad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491.000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530.000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1.1.1.2.2.7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lang w:eastAsia="es-CO"/>
              </w:rPr>
              <w:t>Petición de restablecimiento de los derechos en caso de incumplimiento de los actos mencionados en el artículo 22 del PCT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lang w:eastAsia="es-CO"/>
              </w:rPr>
              <w:t>659.000</w:t>
            </w:r>
          </w:p>
        </w:tc>
      </w:tr>
    </w:tbl>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b/>
          <w:bCs/>
          <w:szCs w:val="24"/>
          <w:lang w:eastAsia="es-CO"/>
        </w:rPr>
        <w:t>1.1.1.3. Tasas Comunes a Solicitudes Nacionales e Internacionales en Fase Nacional</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6"/>
        <w:gridCol w:w="5762"/>
        <w:gridCol w:w="886"/>
        <w:gridCol w:w="101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1.1.1.3.1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Actuaciones en Trámite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Divisional de una solicitud de Patente de Invención (contiene el derecho de presentar las 10 primeras reivindicaciones)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80.000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Divisional de una solicitud de Patente de Modelo de Utilidad (contiene el derecho de presentar las 10 primeras reivindicaciones)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70.000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 xml:space="preserve">Examen de </w:t>
            </w:r>
            <w:proofErr w:type="spellStart"/>
            <w:r w:rsidRPr="00267D96">
              <w:rPr>
                <w:rFonts w:eastAsia="Times New Roman" w:cs="Times New Roman"/>
                <w:sz w:val="20"/>
                <w:szCs w:val="20"/>
                <w:lang w:eastAsia="es-CO"/>
              </w:rPr>
              <w:t>Patentabilidad</w:t>
            </w:r>
            <w:proofErr w:type="spellEnd"/>
            <w:r w:rsidRPr="00267D96">
              <w:rPr>
                <w:rFonts w:eastAsia="Times New Roman" w:cs="Times New Roman"/>
                <w:sz w:val="20"/>
                <w:szCs w:val="20"/>
                <w:lang w:eastAsia="es-CO"/>
              </w:rPr>
              <w:t xml:space="preserve"> de una Solicitud Divisional de una Patente de Invención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932.000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1.120.000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 xml:space="preserve">Examen de </w:t>
            </w:r>
            <w:proofErr w:type="spellStart"/>
            <w:r w:rsidRPr="00267D96">
              <w:rPr>
                <w:rFonts w:eastAsia="Times New Roman" w:cs="Times New Roman"/>
                <w:sz w:val="20"/>
                <w:szCs w:val="20"/>
                <w:lang w:eastAsia="es-CO"/>
              </w:rPr>
              <w:t>Patentabilidad</w:t>
            </w:r>
            <w:proofErr w:type="spellEnd"/>
            <w:r w:rsidRPr="00267D96">
              <w:rPr>
                <w:rFonts w:eastAsia="Times New Roman" w:cs="Times New Roman"/>
                <w:sz w:val="20"/>
                <w:szCs w:val="20"/>
                <w:lang w:eastAsia="es-CO"/>
              </w:rPr>
              <w:t xml:space="preserve"> de una Solicitud Divisional de un Modelo de Utilidad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491.000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530.000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prórroga de términos o plazo adicional previstos en los artículos 39, 42, 43 y 45 de la Decisión 486 de la CAN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117.000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143.000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modificaciones relacionadas con cambio del solicitante por cesión de la solicitud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131.000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157.000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modificaciones y correcciones a solicitudes en trámite relacionadas al capítulo descriptivo o reivindicatorio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137.000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164.000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Modificaciones y correcciones a solicitudes en trámite relacionadas con el nombre, domicilio o dirección de solicitante o el inventor, momento de la publicación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28.000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Presentación de oposición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358.000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430.000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Prestación de caución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286.000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343.000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Fusión de solicitud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137.000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164.000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inscripción de licencias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126.000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154.000</w:t>
            </w:r>
          </w:p>
        </w:tc>
      </w:tr>
    </w:tbl>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6"/>
        <w:gridCol w:w="5632"/>
        <w:gridCol w:w="1016"/>
        <w:gridCol w:w="101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1.1.1.3.2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Actuaciones Posteriores a la Concesión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szCs w:val="20"/>
                <w:lang w:eastAsia="es-CO"/>
              </w:rPr>
              <w:t>Inscripciones de afectaciones (cambio de domicilio, cambio de dirección o cambio de nombre del titular) por registro a afectar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27.000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szCs w:val="20"/>
                <w:lang w:eastAsia="es-CO"/>
              </w:rPr>
              <w:t>Modificación o limitación al alcance de las reivindicaciones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666.000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cambios de titularidad de la Nueva Creación (transferencia)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296.000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355.000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licencias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313.000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adjustRightInd w:val="0"/>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382.000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szCs w:val="20"/>
                <w:lang w:eastAsia="es-CO"/>
              </w:rPr>
              <w:t>Inscripción de otras afectaciones (inscripción, modificación, cancelación, ejecución y terminación de la ejecución de garantías mobiliarias)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proofErr w:type="spellStart"/>
            <w:r w:rsidRPr="00267D96">
              <w:rPr>
                <w:rFonts w:eastAsia="Times New Roman" w:cs="Times New Roman"/>
                <w:sz w:val="20"/>
                <w:szCs w:val="20"/>
                <w:lang w:eastAsia="es-CO"/>
              </w:rPr>
              <w:t>Desanotación</w:t>
            </w:r>
            <w:proofErr w:type="spellEnd"/>
            <w:r w:rsidRPr="00267D96">
              <w:rPr>
                <w:rFonts w:eastAsia="Times New Roman" w:cs="Times New Roman"/>
                <w:sz w:val="20"/>
                <w:szCs w:val="20"/>
                <w:lang w:eastAsia="es-CO"/>
              </w:rPr>
              <w:t xml:space="preserve"> de licencias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330.000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proofErr w:type="spellStart"/>
            <w:r w:rsidRPr="00267D96">
              <w:rPr>
                <w:rFonts w:eastAsia="Times New Roman" w:cs="Times New Roman"/>
                <w:sz w:val="20"/>
                <w:szCs w:val="20"/>
                <w:lang w:eastAsia="es-CO"/>
              </w:rPr>
              <w:t>Desanotación</w:t>
            </w:r>
            <w:proofErr w:type="spellEnd"/>
            <w:r w:rsidRPr="00267D96">
              <w:rPr>
                <w:rFonts w:eastAsia="Times New Roman" w:cs="Times New Roman"/>
                <w:sz w:val="20"/>
                <w:szCs w:val="20"/>
                <w:lang w:eastAsia="es-CO"/>
              </w:rPr>
              <w:t xml:space="preserve"> de otras afectaciones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Fusión de Patentes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409.000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renuncia a derechos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313.000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382.000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primero al cuarto año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226.000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271.000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quinto al octavo año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352.000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422.000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noveno al duodécimo año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528.000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634.000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decimotercero al decimosexto año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819.000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983.000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décimo séptimo al vigésimo año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1.089.000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1.307.000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primero al cuarto año con recargo en plazo de gracia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336.000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403.000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quinto al octavo año con recargo en plazo de gracia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468.000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562.000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noveno al duodécimo año con recargo en plazo de gracia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704.000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845.000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lastRenderedPageBreak/>
              <w:t>1.1.1.3.2.18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decimotercero al decimosexto año con recargo en plazo de gracia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1.083.000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1.300.000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invención del décimo séptimo al vigésimo año con recargo en plazo de gracia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1.452.000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1.742.000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modelo de utilidad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209.000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251.000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1.1.1.3.2.21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Tasa anual para el mantenimiento de patente de modelo de utilidad con recargo en plazo de gracia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281.000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337.000</w:t>
            </w:r>
          </w:p>
        </w:tc>
      </w:tr>
    </w:tbl>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b/>
          <w:bCs/>
          <w:szCs w:val="24"/>
          <w:lang w:eastAsia="es-CO"/>
        </w:rPr>
        <w:t>1.1.1.4 Servicios del Centro de Información Tecnológica y Apoyo a la Gestión de la Propiedad Industrial CIGEPI</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6"/>
        <w:gridCol w:w="6798"/>
        <w:gridCol w:w="111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Búsqueda nacional (incluye hasta 100 páginas)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209.000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lang w:eastAsia="es-CO"/>
              </w:rPr>
              <w:t>Búsqueda nacional de producto o procedimiento de una única entidad química (incluye hasta 200 páginas)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319.000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lang w:eastAsia="es-CO"/>
              </w:rPr>
              <w:t>Búsqueda nacional de una entidad química y sus posibles combinaciones con otros compuestos / Búsquedas de productos biológicos (incluye hasta 250 páginas)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797.000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Búsqueda internacional (no incluye a Colombia) (incluye hasta 50 páginas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319.000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Página adicional de búsqueda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1.100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lang w:eastAsia="es-CO"/>
              </w:rPr>
              <w:t>Búsqueda nacional de diseños industriales (hasta dos páginas)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34.000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Página adicional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12.500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Informe de vigilancia tecnológica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16.067.000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lang w:eastAsia="es-CO"/>
              </w:rPr>
              <w:t>Informe estadístico nacional sobre documentos de Propiedad Industrial por modalidad de protección y por variable estadística)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55.000</w:t>
            </w:r>
          </w:p>
        </w:tc>
      </w:tr>
    </w:tbl>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b/>
          <w:bCs/>
          <w:szCs w:val="24"/>
          <w:lang w:eastAsia="es-CO"/>
        </w:rPr>
        <w:t>1.1.2 Tasas de Signos Distintivos</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
        <w:gridCol w:w="5782"/>
        <w:gridCol w:w="1016"/>
        <w:gridCol w:w="101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Solicitudes Nacionales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o lema comercial de productos o servicios por una clase, incluidas las modificaciones relacionadas con limitaciones de productos o servicios, que no sea divisional, así como cambios secundarios en el signo y relacionadas con el nombre, domicilio o dirección del solicitante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786.000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956.000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o lema comercial por cada clase adicional en una misma solicitud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392.000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454.000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marcas colectivas o de certificación por una clase, incluidas las modificaciones relacionadas con limitaciones de productos o servicios, que no sea divisional, así como cambios secundarios en el signo y relacionadas con el nombre, domicilio o dirección del solicitante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1.046.000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1.274.000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colectiva o de certificación, por cada clase adicional en una misma solicitud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522.000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636.000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o lema comercial de productos o servicios presentadas por micro, pequeñas y medianas empresas (</w:t>
            </w:r>
            <w:proofErr w:type="spellStart"/>
            <w:r w:rsidRPr="00267D96">
              <w:rPr>
                <w:rFonts w:eastAsia="Times New Roman" w:cs="Times New Roman"/>
                <w:sz w:val="20"/>
                <w:szCs w:val="20"/>
                <w:lang w:eastAsia="es-CO"/>
              </w:rPr>
              <w:t>Mipyme</w:t>
            </w:r>
            <w:proofErr w:type="spellEnd"/>
            <w:r w:rsidRPr="00267D96">
              <w:rPr>
                <w:rFonts w:eastAsia="Times New Roman" w:cs="Times New Roman"/>
                <w:sz w:val="20"/>
                <w:szCs w:val="20"/>
                <w:lang w:eastAsia="es-CO"/>
              </w:rPr>
              <w:t>), incluidas las modificaciones relacionadas con limitaciones de productos o servicios, que no sea divisional, así como cambios secundarios en el signo y relacionadas con el nombre, domicilio o dirección del solicitante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589.000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718.000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o lema comercial de productos o servicios presentada por micro, pequeñas y medianas empresas (</w:t>
            </w:r>
            <w:proofErr w:type="spellStart"/>
            <w:r w:rsidRPr="00267D96">
              <w:rPr>
                <w:rFonts w:eastAsia="Times New Roman" w:cs="Times New Roman"/>
                <w:sz w:val="20"/>
                <w:szCs w:val="20"/>
                <w:lang w:eastAsia="es-CO"/>
              </w:rPr>
              <w:t>Mipyme</w:t>
            </w:r>
            <w:proofErr w:type="spellEnd"/>
            <w:r w:rsidRPr="00267D96">
              <w:rPr>
                <w:rFonts w:eastAsia="Times New Roman" w:cs="Times New Roman"/>
                <w:sz w:val="20"/>
                <w:szCs w:val="20"/>
                <w:lang w:eastAsia="es-CO"/>
              </w:rPr>
              <w:t>), por cada clase adicional en una misma solicitud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294.000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358.000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de productos o servicios presentada por artesanos certificados como tales por Artesanías de Colombia (por la primera solicitud), incluidas las modificaciones relacionadas con limitaciones de productos o servicios, que no sea divisional, así como cambios secundarios en el signo y relacionadas con el nombre, domicilio o dirección del solicitante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65.000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 xml:space="preserve">Solicitud de registro de marca colectiva o de certificación presentada por artesanos certificados por Artesanías de Colombia referida a productos artesanales (por la primera solicitud), incluidas las modificaciones relacionadas con limitaciones de productos o </w:t>
            </w:r>
            <w:r w:rsidRPr="00267D96">
              <w:rPr>
                <w:rFonts w:eastAsia="Times New Roman" w:cs="Times New Roman"/>
                <w:sz w:val="20"/>
                <w:szCs w:val="20"/>
                <w:lang w:eastAsia="es-CO"/>
              </w:rPr>
              <w:lastRenderedPageBreak/>
              <w:t>servicios, que no sea divisional, así como cambios secundarios en el signo y relacionadas con el nombre, domicilio o dirección del solicitante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lastRenderedPageBreak/>
              <w:t>74.000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90.000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lastRenderedPageBreak/>
              <w:t>1.1.2.1.9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o lema comercial de productos o servicios por una clase presentada por entidades estatales, incluidas las modificaciones relacionadas con limitaciones de productos o servicios, que no sea divisional, así como cambios secundarios en el signo y relacionadas con el nombre, domicilio o dirección del solicitante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65.000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o lema comercial por cada clase adicional en una misma solicitud presentada por entidades estatales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colectiva o de certificación por una clase presentada por entidades estatales, incluidas las modificaciones relacionadas con limitaciones de productos o servicios, que no sea divisional, así como cambios secundarios en el signo y relacionadas con el nombre, domicilio o dirección del solicitante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74.000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90.000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registro de marca colectiva o de certificación por cada clase adicional en una misma solicitud presentada por entidades estatales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depósito de nombre o enseña comercial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558.000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680.000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depósito de nombre o enseña comercial presentada por micro, pequeñas y medianas empresas (</w:t>
            </w:r>
            <w:proofErr w:type="spellStart"/>
            <w:r w:rsidRPr="00267D96">
              <w:rPr>
                <w:rFonts w:eastAsia="Times New Roman" w:cs="Times New Roman"/>
                <w:sz w:val="20"/>
                <w:szCs w:val="20"/>
                <w:lang w:eastAsia="es-CO"/>
              </w:rPr>
              <w:t>Mipyme</w:t>
            </w:r>
            <w:proofErr w:type="spellEnd"/>
            <w:r w:rsidRPr="00267D96">
              <w:rPr>
                <w:rFonts w:eastAsia="Times New Roman" w:cs="Times New Roman"/>
                <w:sz w:val="20"/>
                <w:szCs w:val="20"/>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419.000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510.000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declaración de protección o de reconocimiento de una denominación de origen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522.000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636.000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delegación de la facultad de autorizar el uso de una denominación de origen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522.000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636.000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declaración de protección de una denominación de origen y de delegación de la facultad de autorizar el uso en un mismo documento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784.000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955.000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autorización de uso de una denominación de origen 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126.000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154.000</w:t>
            </w:r>
          </w:p>
        </w:tc>
      </w:tr>
    </w:tbl>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
        <w:gridCol w:w="5902"/>
        <w:gridCol w:w="896"/>
        <w:gridCol w:w="101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Actuaciones en trámite de Signos Distintivos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prórroga de términos o plazo adicional previstos en los artículos 146 y 148 de la Decisión 486 de la CAN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117.000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143.000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 de modificación de la solicitud de declaración de protección de denominación de origen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110.000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Presentación de oposición por cada clase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339.746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414.000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Prestación de caución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286.000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licencias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126.000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154.000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Invocación de prioridad por clase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216.000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Invocación de notoriedad dentro de un trámite de oposición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471.000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574.000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Divisional de la solicitud de registro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732.000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892.000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Divisional de la solicitud de registro presentada por micro y pequeñas empresas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549.000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669.000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Visitas administrativas en los trámites de Denominaciones de origen (por día de visita)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1.320.000</w:t>
            </w:r>
          </w:p>
        </w:tc>
      </w:tr>
    </w:tbl>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
        <w:gridCol w:w="5782"/>
        <w:gridCol w:w="1016"/>
        <w:gridCol w:w="101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1.1.2.3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Actuaciones Posteriores a la Protección de Signos Distintivos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szCs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Renovación de registro de marcas y de lemas comerciales por una clase en una misma solicitud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428.000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522.000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Renovación de registro de marcas y de lemas comerciales por clase adicional, debe entenderse que se refiere a clase adicional en un mismo registro.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209.000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254.000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Renovación de registro con recargo por solicitud en plazo de gracia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713.000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Renovación de la autorización de uso de una denominación de origen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451.000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Renovación de la autorización de uso de una denominación de origen con recargo por solicitud en plazo de gracia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616.000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listado de beneficiarios autorizados para usar una denominación de origen protegida presentada por entidad delegada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1.100.000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acuerdos de comercialización.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330.000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lastRenderedPageBreak/>
              <w:t>1.1.2.3.8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afectaciones (cambio de nombre, de domicilio, o de dirección del titular) por registro a afectar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cambios de titularidad del registro marcario (transferencia) por registro a afectar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282.000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343.000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cambios de titularidad (transferencia) del registro marcario de artesanos certificados como tales por Artesanías de Colombia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56.000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cambios de titularidad (transferencia) del registro marcario de artesanos certificados como tales por Artesanías de Colombia a no artesanos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770.000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renuncia de derechos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313.000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382.000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licencias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313.000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382.000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Cancelación de un registro marcario por no uso, notoriedad y/o vulgarización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1.567.000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1.909.000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divisional del registro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313.000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382.000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proofErr w:type="spellStart"/>
            <w:r w:rsidRPr="00267D96">
              <w:rPr>
                <w:rFonts w:eastAsia="Times New Roman" w:cs="Times New Roman"/>
                <w:sz w:val="20"/>
                <w:szCs w:val="20"/>
                <w:lang w:eastAsia="es-CO"/>
              </w:rPr>
              <w:t>Desanotación</w:t>
            </w:r>
            <w:proofErr w:type="spellEnd"/>
            <w:r w:rsidRPr="00267D96">
              <w:rPr>
                <w:rFonts w:eastAsia="Times New Roman" w:cs="Times New Roman"/>
                <w:sz w:val="20"/>
                <w:szCs w:val="20"/>
                <w:lang w:eastAsia="es-CO"/>
              </w:rPr>
              <w:t xml:space="preserve"> de licencias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330.000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proofErr w:type="spellStart"/>
            <w:r w:rsidRPr="00267D96">
              <w:rPr>
                <w:rFonts w:eastAsia="Times New Roman" w:cs="Times New Roman"/>
                <w:sz w:val="20"/>
                <w:szCs w:val="20"/>
                <w:lang w:eastAsia="es-CO"/>
              </w:rPr>
              <w:t>Desanotación</w:t>
            </w:r>
            <w:proofErr w:type="spellEnd"/>
            <w:r w:rsidRPr="00267D96">
              <w:rPr>
                <w:rFonts w:eastAsia="Times New Roman" w:cs="Times New Roman"/>
                <w:sz w:val="20"/>
                <w:szCs w:val="20"/>
                <w:lang w:eastAsia="es-CO"/>
              </w:rPr>
              <w:t xml:space="preserve"> de otras afectaciones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Inscripción de otras afectaciones (inscripción, modificación, cancelación, ejecución y terminación de la ejecución de garantías mobiliarias).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23.000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1.1.2.3.19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szCs w:val="20"/>
                <w:lang w:eastAsia="es-CO"/>
              </w:rPr>
              <w:t>Solicitudes de modificación de la declaración de protección de la denominación de origen.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szCs w:val="20"/>
                <w:lang w:eastAsia="es-CO"/>
              </w:rPr>
              <w:t>110.000</w:t>
            </w:r>
          </w:p>
        </w:tc>
      </w:tr>
    </w:tbl>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6"/>
        <w:gridCol w:w="6182"/>
        <w:gridCol w:w="811"/>
        <w:gridCol w:w="921"/>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1.1.2.4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Solicitudes Internacionales –Protocolo de Madrid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lang w:eastAsia="es-CO"/>
              </w:rPr>
              <w:t>Transmisión, certificación y envío de solicitudes internacionales a la OMPI, conforme al Protocolo de Madrid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66.000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Solicitud de Transformación hasta antes de la decisión final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413.000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Solicitud de transformación de un registro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110.000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rPr>
                <w:rFonts w:eastAsia="Times New Roman" w:cs="Times New Roman"/>
                <w:szCs w:val="24"/>
                <w:lang w:eastAsia="es-CO"/>
              </w:rPr>
            </w:pPr>
            <w:r w:rsidRPr="00267D96">
              <w:rPr>
                <w:rFonts w:eastAsia="Times New Roman" w:cs="Times New Roman"/>
                <w:sz w:val="20"/>
                <w:lang w:eastAsia="es-CO"/>
              </w:rPr>
              <w:t>Inscripción de sustitución del registro Nacional en Internacional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23.000</w:t>
            </w:r>
          </w:p>
        </w:tc>
      </w:tr>
    </w:tbl>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
        <w:gridCol w:w="6288"/>
        <w:gridCol w:w="876"/>
        <w:gridCol w:w="900"/>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Búsqueda de parecidos Marcarios por Clase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Marcas nominativas y/o parte denominativa de las marcas mixtas) por signo.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33.000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33.000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Marcas nominativas y/o parte denominativa de las marcas mixtas por clase adicional del mismo signo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18.000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Marcas figurativas y/o parte gráfica de las marcas mixtas por signo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33.000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33.000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Marcas figurativas y/o parte gráfica de las marcas mixtas por clase adicional del mismo signo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18.000</w:t>
            </w:r>
          </w:p>
        </w:tc>
      </w:tr>
    </w:tbl>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
        <w:gridCol w:w="5089"/>
        <w:gridCol w:w="922"/>
        <w:gridCol w:w="955"/>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Tasas Comunes a Signos Distintivos y Nuevas Creaciones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En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b/>
                <w:bCs/>
                <w:sz w:val="20"/>
                <w:lang w:eastAsia="es-CO"/>
              </w:rPr>
              <w:t>En físico</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Autenticación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1.100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Certificación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23.000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27.000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Copia o impresión por página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207</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Foto-reducción y ampliación…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1.000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Listados informativos del sistema (por línea)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2.100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Hora de obtención de listados especiales de información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87.000</w:t>
            </w:r>
          </w:p>
        </w:tc>
      </w:tr>
      <w:tr w:rsidR="00267D96" w:rsidRPr="00267D96" w:rsidTr="00267D96">
        <w:trPr>
          <w:jc w:val="center"/>
        </w:trPr>
        <w:tc>
          <w:tcPr>
            <w:tcW w:w="0" w:type="auto"/>
            <w:gridSpan w:val="4"/>
            <w:tcBorders>
              <w:top w:val="single" w:sz="4" w:space="0" w:color="auto"/>
              <w:left w:val="nil"/>
              <w:bottom w:val="nil"/>
              <w:right w:val="nil"/>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b/>
                <w:bCs/>
                <w:sz w:val="20"/>
                <w:szCs w:val="24"/>
                <w:lang w:eastAsia="es-CO"/>
              </w:rPr>
              <w:t>*N/A: No Aplica.</w:t>
            </w:r>
          </w:p>
        </w:tc>
      </w:tr>
    </w:tbl>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bCs/>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bCs/>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bCs/>
          <w:szCs w:val="24"/>
          <w:lang w:eastAsia="es-CO"/>
        </w:rPr>
        <w:t>1.1.5 Prioridades</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Para los efectos del artículo 10 de la Decisión número 486 de la Comisión de la Comunidad Andina de Naciones, las prioridades deberán invocarse de manera discriminada, anexándose para cada una de ellas el comprobante de pago de la tasa establecida en los numerales 1.1.1.1.8 y 1.1.2.2.6 del presente capítulo.</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bCs/>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bCs/>
          <w:szCs w:val="24"/>
          <w:lang w:eastAsia="es-CO"/>
        </w:rPr>
        <w:t>1.1.6 Conversión de solicitudes en trámite de Nuevas Creaciones</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lastRenderedPageBreak/>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Para los efectos de que tratan los artículos 35 y 83 de la Decisión número 486 de la Comisión de la Comunidad Andina de Naciones, cuando se solicite la conversión de una solicitud en trámite, el peticionario deberá, cuando sea del caso, ajustar el mayor valor correspondiente al trámite de la modalidad a que se haya de convertir su solicitud, conforme a las tasas vigentes al momento de la solicitud de la conversión.</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En el caso de división, el peticionario cancelará la tasa correspondiente para cada una de las divisiones resultantes, conforme a las tasas vigentes al momento de la solicitud de la división.</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La solicitud de conversión o de división de solicitudes no ocasionará el pago de la tasa por modificación de la solicitud.</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bCs/>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bCs/>
          <w:szCs w:val="24"/>
          <w:lang w:eastAsia="es-CO"/>
        </w:rPr>
        <w:t>1.1.7 Pago de tasas</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A excepción de la prestación de cauciones, el valor de las tasas deberá ser cancelado previamente a la radicación de la solicitud respectiva a la cual se adjuntará el comprobante de pago.</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bCs/>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bCs/>
          <w:szCs w:val="24"/>
          <w:lang w:eastAsia="es-CO"/>
        </w:rPr>
        <w:t>1.1.8 Títulos</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El pago de las tasas de los títulos y la publicación de los mismos, referente a solicitudes de registro de marcas, lemas comerciales, depósitos de nombre y enseñas comerciales, declaración de protección de denominación de origen, autorización de utilización de la denominación de origen, así como las renovaciones, licencias, traspasos, cambios de nombre y de domicilio del titular, presentadas con anterioridad a la entrada en vigencia del Decreto número 2285 de 1995, se regirán de acuerdo con los siguiente valores:</w:t>
      </w:r>
    </w:p>
    <w:p w:rsidR="00267D96" w:rsidRPr="00267D96" w:rsidRDefault="00267D96" w:rsidP="00267D96">
      <w:pPr>
        <w:spacing w:after="0" w:line="240" w:lineRule="auto"/>
        <w:jc w:val="center"/>
        <w:rPr>
          <w:rFonts w:eastAsia="Times New Roman" w:cs="Times New Roman"/>
          <w:szCs w:val="24"/>
          <w:lang w:eastAsia="es-CO"/>
        </w:rPr>
      </w:pPr>
      <w:r w:rsidRPr="00267D96">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6"/>
        <w:gridCol w:w="7198"/>
        <w:gridCol w:w="866"/>
      </w:tblGrid>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De traspaso, cesión, concesión, inscripción de licencias y cambio de nombre y de domicilio del titular de patente de invención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456.000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De traspaso, cesión, concesión, inscripción de licencias y cambio de nombre y de domicilio del titular de modelo de utilidad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308.000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De traspaso, cesión, concesión, inscripción de licencias y cambio de nombre y de domicilio del titular de diseños industriales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230.000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De traspaso, cesión, concesión, inscripción de licencias y cambio de nombre y de domicilio del titular de marcas y lemas comerciales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296.000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De traspaso, cesión, concesión, inscripción de licencias y cambio de nombre y de domicilio del titular de nombres y enseñas comerciales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296.000</w:t>
            </w:r>
          </w:p>
        </w:tc>
      </w:tr>
      <w:tr w:rsidR="00267D96" w:rsidRPr="00267D96" w:rsidTr="00267D9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1.1.8.6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 w:val="20"/>
                <w:lang w:eastAsia="es-CO"/>
              </w:rPr>
              <w:t>Publicación del título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sz w:val="20"/>
                <w:lang w:eastAsia="es-CO"/>
              </w:rPr>
              <w:t>44.000</w:t>
            </w:r>
          </w:p>
        </w:tc>
      </w:tr>
    </w:tbl>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Las tasas que deben pagarse por el retiro y por la publicación del título, de conformidad con el presente capítulo, serán las vigentes al momento de efectuarse el correspondiente pago.</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szCs w:val="24"/>
          <w:lang w:eastAsia="es-CO"/>
        </w:rPr>
        <w:t xml:space="preserve">Artículo 2º. </w:t>
      </w:r>
      <w:r w:rsidRPr="00267D96">
        <w:rPr>
          <w:rFonts w:eastAsia="Times New Roman" w:cs="Times New Roman"/>
          <w:szCs w:val="24"/>
          <w:lang w:eastAsia="es-CO"/>
        </w:rPr>
        <w:t>El valor de las tasas contenidas en el presente capítulo podrá ser modificado en cualquier momento, de conformidad con el estudio técnico que determine la necesidad de ajustarlas. Sin perjuicio de lo anterior, los reajustes anuales regirán a partir del 1° de enero del año siguiente.</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szCs w:val="24"/>
          <w:lang w:eastAsia="es-CO"/>
        </w:rPr>
        <w:t xml:space="preserve">Artículo 3º. </w:t>
      </w:r>
      <w:r w:rsidRPr="00267D96">
        <w:rPr>
          <w:rFonts w:eastAsia="Times New Roman" w:cs="Times New Roman"/>
          <w:szCs w:val="24"/>
          <w:lang w:eastAsia="es-CO"/>
        </w:rPr>
        <w:t xml:space="preserve">Las tasas correspondientes a presentación de solicitudes de diseños industriales, esquemas de trazado de circuitos integrados y las solicitudes de examen de </w:t>
      </w:r>
      <w:proofErr w:type="spellStart"/>
      <w:r w:rsidRPr="00267D96">
        <w:rPr>
          <w:rFonts w:eastAsia="Times New Roman" w:cs="Times New Roman"/>
          <w:szCs w:val="24"/>
          <w:lang w:eastAsia="es-CO"/>
        </w:rPr>
        <w:t>patentabilidad</w:t>
      </w:r>
      <w:proofErr w:type="spellEnd"/>
      <w:r w:rsidRPr="00267D96">
        <w:rPr>
          <w:rFonts w:eastAsia="Times New Roman" w:cs="Times New Roman"/>
          <w:szCs w:val="24"/>
          <w:lang w:eastAsia="es-CO"/>
        </w:rPr>
        <w:t xml:space="preserve"> de patentes de invención y modelos de utilidad y las referentes a los servicios prestados por el Centro de Información Tecnológica y Apoyo a la Gestión de la Propiedad Industrial (CIGEPI) presentadas por: </w:t>
      </w:r>
      <w:r w:rsidRPr="00267D96">
        <w:rPr>
          <w:rFonts w:eastAsia="Times New Roman" w:cs="Times New Roman"/>
          <w:b/>
          <w:bCs/>
          <w:szCs w:val="24"/>
          <w:lang w:eastAsia="es-CO"/>
        </w:rPr>
        <w:t xml:space="preserve">i) </w:t>
      </w:r>
      <w:r w:rsidRPr="00267D96">
        <w:rPr>
          <w:rFonts w:eastAsia="Times New Roman" w:cs="Times New Roman"/>
          <w:szCs w:val="24"/>
          <w:lang w:eastAsia="es-CO"/>
        </w:rPr>
        <w:t xml:space="preserve">Personas naturales que carezcan de medios económicos; </w:t>
      </w:r>
      <w:r w:rsidRPr="00267D96">
        <w:rPr>
          <w:rFonts w:eastAsia="Times New Roman" w:cs="Times New Roman"/>
          <w:b/>
          <w:bCs/>
          <w:szCs w:val="24"/>
          <w:lang w:eastAsia="es-CO"/>
        </w:rPr>
        <w:t xml:space="preserve">ii) </w:t>
      </w:r>
      <w:r w:rsidRPr="00267D96">
        <w:rPr>
          <w:rFonts w:eastAsia="Times New Roman" w:cs="Times New Roman"/>
          <w:szCs w:val="24"/>
          <w:lang w:eastAsia="es-CO"/>
        </w:rPr>
        <w:t>Micro, pequeña o mediana empresa (</w:t>
      </w:r>
      <w:proofErr w:type="spellStart"/>
      <w:r w:rsidRPr="00267D96">
        <w:rPr>
          <w:rFonts w:eastAsia="Times New Roman" w:cs="Times New Roman"/>
          <w:szCs w:val="24"/>
          <w:lang w:eastAsia="es-CO"/>
        </w:rPr>
        <w:t>Mipyme</w:t>
      </w:r>
      <w:proofErr w:type="spellEnd"/>
      <w:r w:rsidRPr="00267D96">
        <w:rPr>
          <w:rFonts w:eastAsia="Times New Roman" w:cs="Times New Roman"/>
          <w:szCs w:val="24"/>
          <w:lang w:eastAsia="es-CO"/>
        </w:rPr>
        <w:t xml:space="preserve">); </w:t>
      </w:r>
      <w:r w:rsidRPr="00267D96">
        <w:rPr>
          <w:rFonts w:eastAsia="Times New Roman" w:cs="Times New Roman"/>
          <w:b/>
          <w:bCs/>
          <w:szCs w:val="24"/>
          <w:lang w:eastAsia="es-CO"/>
        </w:rPr>
        <w:t xml:space="preserve">iii) </w:t>
      </w:r>
      <w:r w:rsidRPr="00267D96">
        <w:rPr>
          <w:rFonts w:eastAsia="Times New Roman" w:cs="Times New Roman"/>
          <w:szCs w:val="24"/>
          <w:lang w:eastAsia="es-CO"/>
        </w:rPr>
        <w:t xml:space="preserve">Universidades públicas o privadas reconocidas por el Ministerio de Educación Nacional de la República de Colombia, o </w:t>
      </w:r>
      <w:r w:rsidRPr="00267D96">
        <w:rPr>
          <w:rFonts w:eastAsia="Times New Roman" w:cs="Times New Roman"/>
          <w:b/>
          <w:bCs/>
          <w:szCs w:val="24"/>
          <w:lang w:eastAsia="es-CO"/>
        </w:rPr>
        <w:t xml:space="preserve">iv) </w:t>
      </w:r>
      <w:r w:rsidRPr="00267D96">
        <w:rPr>
          <w:rFonts w:eastAsia="Times New Roman" w:cs="Times New Roman"/>
          <w:szCs w:val="24"/>
          <w:lang w:eastAsia="es-CO"/>
        </w:rPr>
        <w:t xml:space="preserve">Entidades sin ánimo de lucro registradas ante la Cámara de Comercio cuyo objeto consista </w:t>
      </w:r>
      <w:r w:rsidRPr="00267D96">
        <w:rPr>
          <w:rFonts w:eastAsia="Times New Roman" w:cs="Times New Roman"/>
          <w:szCs w:val="24"/>
          <w:lang w:eastAsia="es-CO"/>
        </w:rPr>
        <w:lastRenderedPageBreak/>
        <w:t xml:space="preserve">en el desarrollo de investigación científica y tecnológica, tendrán una reducción del veinticinco por ciento (25%) de la tasa vigente; </w:t>
      </w:r>
      <w:r w:rsidRPr="00267D96">
        <w:rPr>
          <w:rFonts w:eastAsia="Times New Roman" w:cs="Times New Roman"/>
          <w:b/>
          <w:bCs/>
          <w:szCs w:val="24"/>
          <w:lang w:eastAsia="es-CO"/>
        </w:rPr>
        <w:t xml:space="preserve">v) </w:t>
      </w:r>
      <w:r w:rsidRPr="00267D96">
        <w:rPr>
          <w:rFonts w:eastAsia="Times New Roman" w:cs="Times New Roman"/>
          <w:szCs w:val="24"/>
          <w:lang w:eastAsia="es-CO"/>
        </w:rPr>
        <w:t>Universidades públicas o privadas, extranjeras, acreditadas por la respectiva autoridad en su país, en cotitularidad con las entidades antes mencionadas, tendrá un descuento del quince por ciento (15%) de la tasa vigente.</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xml:space="preserve">La tasa de transmisión correspondiente a solicitudes internacionales presentadas en virtud del Tratado de Cooperación en materia de Patentes (PCT) por: </w:t>
      </w:r>
      <w:r w:rsidRPr="00267D96">
        <w:rPr>
          <w:rFonts w:eastAsia="Times New Roman" w:cs="Times New Roman"/>
          <w:b/>
          <w:bCs/>
          <w:szCs w:val="24"/>
          <w:lang w:eastAsia="es-CO"/>
        </w:rPr>
        <w:t xml:space="preserve">i) </w:t>
      </w:r>
      <w:r w:rsidRPr="00267D96">
        <w:rPr>
          <w:rFonts w:eastAsia="Times New Roman" w:cs="Times New Roman"/>
          <w:szCs w:val="24"/>
          <w:lang w:eastAsia="es-CO"/>
        </w:rPr>
        <w:t xml:space="preserve">Personas naturales que carezcan de medios económicos; </w:t>
      </w:r>
      <w:r w:rsidRPr="00267D96">
        <w:rPr>
          <w:rFonts w:eastAsia="Times New Roman" w:cs="Times New Roman"/>
          <w:b/>
          <w:bCs/>
          <w:szCs w:val="24"/>
          <w:lang w:eastAsia="es-CO"/>
        </w:rPr>
        <w:t xml:space="preserve">ii) </w:t>
      </w:r>
      <w:r w:rsidRPr="00267D96">
        <w:rPr>
          <w:rFonts w:eastAsia="Times New Roman" w:cs="Times New Roman"/>
          <w:szCs w:val="24"/>
          <w:lang w:eastAsia="es-CO"/>
        </w:rPr>
        <w:t>Micro, pequeña o mediana empresa (</w:t>
      </w:r>
      <w:proofErr w:type="spellStart"/>
      <w:r w:rsidRPr="00267D96">
        <w:rPr>
          <w:rFonts w:eastAsia="Times New Roman" w:cs="Times New Roman"/>
          <w:szCs w:val="24"/>
          <w:lang w:eastAsia="es-CO"/>
        </w:rPr>
        <w:t>Mipyme</w:t>
      </w:r>
      <w:proofErr w:type="spellEnd"/>
      <w:r w:rsidRPr="00267D96">
        <w:rPr>
          <w:rFonts w:eastAsia="Times New Roman" w:cs="Times New Roman"/>
          <w:szCs w:val="24"/>
          <w:lang w:eastAsia="es-CO"/>
        </w:rPr>
        <w:t xml:space="preserve">); </w:t>
      </w:r>
      <w:r w:rsidRPr="00267D96">
        <w:rPr>
          <w:rFonts w:eastAsia="Times New Roman" w:cs="Times New Roman"/>
          <w:b/>
          <w:bCs/>
          <w:szCs w:val="24"/>
          <w:lang w:eastAsia="es-CO"/>
        </w:rPr>
        <w:t xml:space="preserve">iii) </w:t>
      </w:r>
      <w:r w:rsidRPr="00267D96">
        <w:rPr>
          <w:rFonts w:eastAsia="Times New Roman" w:cs="Times New Roman"/>
          <w:szCs w:val="24"/>
          <w:lang w:eastAsia="es-CO"/>
        </w:rPr>
        <w:t xml:space="preserve">Universidades públicas o privadas reconocidas por el Ministerio de Educación Nacional de la República de Colombia; </w:t>
      </w:r>
      <w:r w:rsidRPr="00267D96">
        <w:rPr>
          <w:rFonts w:eastAsia="Times New Roman" w:cs="Times New Roman"/>
          <w:b/>
          <w:bCs/>
          <w:szCs w:val="24"/>
          <w:lang w:eastAsia="es-CO"/>
        </w:rPr>
        <w:t xml:space="preserve">iv) </w:t>
      </w:r>
      <w:r w:rsidRPr="00267D96">
        <w:rPr>
          <w:rFonts w:eastAsia="Times New Roman" w:cs="Times New Roman"/>
          <w:szCs w:val="24"/>
          <w:lang w:eastAsia="es-CO"/>
        </w:rPr>
        <w:t>Entidades sin ánimo de lucro registradas en la Cámara de Comercio cuyo objeto consista en el desarrollo de investigación científica y tecnológica tendrán un descuento del veinticinco por ciento (25%) de la tasa vigente de transmisión.</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Para efectos de lo dispuesto en este artículo, se considerarán como micro, pequeñas y medianas empresas (</w:t>
      </w:r>
      <w:proofErr w:type="spellStart"/>
      <w:r w:rsidRPr="00267D96">
        <w:rPr>
          <w:rFonts w:eastAsia="Times New Roman" w:cs="Times New Roman"/>
          <w:szCs w:val="24"/>
          <w:lang w:eastAsia="es-CO"/>
        </w:rPr>
        <w:t>Mipyme</w:t>
      </w:r>
      <w:proofErr w:type="spellEnd"/>
      <w:r w:rsidRPr="00267D96">
        <w:rPr>
          <w:rFonts w:eastAsia="Times New Roman" w:cs="Times New Roman"/>
          <w:szCs w:val="24"/>
          <w:lang w:eastAsia="es-CO"/>
        </w:rPr>
        <w:t xml:space="preserve">) aquellas que respondan a los parámetros establecidos en la Ley 905 de 2004 y en las normas que la modifiquen, adicionen o sustituyan. Tal calidad deberá ser acreditada en la solicitud y al momento de realizar el pago del examen de </w:t>
      </w:r>
      <w:proofErr w:type="spellStart"/>
      <w:r w:rsidRPr="00267D96">
        <w:rPr>
          <w:rFonts w:eastAsia="Times New Roman" w:cs="Times New Roman"/>
          <w:szCs w:val="24"/>
          <w:lang w:eastAsia="es-CO"/>
        </w:rPr>
        <w:t>patentabilidad</w:t>
      </w:r>
      <w:proofErr w:type="spellEnd"/>
      <w:r w:rsidRPr="00267D96">
        <w:rPr>
          <w:rFonts w:eastAsia="Times New Roman" w:cs="Times New Roman"/>
          <w:szCs w:val="24"/>
          <w:lang w:eastAsia="es-CO"/>
        </w:rPr>
        <w:t>, mediante copia simple de la declaración de renta del año inmediatamente anterior o, en su defecto, con cualquier otra prueba documental idónea donde conste que se cumple con los parámetros requeridos, así como con el certificado de cámara de comercio respectivo.</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xml:space="preserve">Cuando el solicitante sea persona natural o </w:t>
      </w:r>
      <w:proofErr w:type="spellStart"/>
      <w:r w:rsidRPr="00267D96">
        <w:rPr>
          <w:rFonts w:eastAsia="Times New Roman" w:cs="Times New Roman"/>
          <w:szCs w:val="24"/>
          <w:lang w:eastAsia="es-CO"/>
        </w:rPr>
        <w:t>Mipyme</w:t>
      </w:r>
      <w:proofErr w:type="spellEnd"/>
      <w:r w:rsidRPr="00267D96">
        <w:rPr>
          <w:rFonts w:eastAsia="Times New Roman" w:cs="Times New Roman"/>
          <w:szCs w:val="24"/>
          <w:lang w:eastAsia="es-CO"/>
        </w:rPr>
        <w:t xml:space="preserve">, para que opere la reducción de tasas deberá manifestar bajo juramento, que se considera prestado con la sola petición de examen de </w:t>
      </w:r>
      <w:proofErr w:type="spellStart"/>
      <w:r w:rsidRPr="00267D96">
        <w:rPr>
          <w:rFonts w:eastAsia="Times New Roman" w:cs="Times New Roman"/>
          <w:szCs w:val="24"/>
          <w:lang w:eastAsia="es-CO"/>
        </w:rPr>
        <w:t>patentabilidad</w:t>
      </w:r>
      <w:proofErr w:type="spellEnd"/>
      <w:r w:rsidRPr="00267D96">
        <w:rPr>
          <w:rFonts w:eastAsia="Times New Roman" w:cs="Times New Roman"/>
          <w:szCs w:val="24"/>
          <w:lang w:eastAsia="es-CO"/>
        </w:rPr>
        <w:t>, según sea el caso, su carencia de medios económicos.</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szCs w:val="24"/>
          <w:lang w:eastAsia="es-CO"/>
        </w:rPr>
        <w:t>Artículo 4º.</w:t>
      </w:r>
      <w:r w:rsidRPr="00267D96">
        <w:rPr>
          <w:rFonts w:eastAsia="Times New Roman" w:cs="Times New Roman"/>
          <w:szCs w:val="24"/>
          <w:lang w:eastAsia="es-CO"/>
        </w:rPr>
        <w:t xml:space="preserve"> Las tasas correspondientes a las solicitudes de presentación de registro de marcas de productos o servicios, lemas comerciales y divisionales presentadas por las micro y pequeñas empresas formalmente constituidas que presenten el certificado expedido por el Aula de Propiedad Industrial (API) que acredite su asistencia a los foros o eventos impartidos por la Superintendencia de Industria y Comercio en materia de propiedad industrial, dentro del término de los dos (2) meses siguientes a la realización del curso o foro, tendrán un descuento del veinticinco por ciento (25%) a las tasas establecidas para estas actuaciones en la presente resolución.</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xml:space="preserve">Las tasas correspondientes a la presentación de solicitudes de diseños industriales, esquemas de trazado de circuitos integrados y las solicitudes de examen de </w:t>
      </w:r>
      <w:proofErr w:type="spellStart"/>
      <w:r w:rsidRPr="00267D96">
        <w:rPr>
          <w:rFonts w:eastAsia="Times New Roman" w:cs="Times New Roman"/>
          <w:szCs w:val="24"/>
          <w:lang w:eastAsia="es-CO"/>
        </w:rPr>
        <w:t>patentabilidad</w:t>
      </w:r>
      <w:proofErr w:type="spellEnd"/>
      <w:r w:rsidRPr="00267D96">
        <w:rPr>
          <w:rFonts w:eastAsia="Times New Roman" w:cs="Times New Roman"/>
          <w:szCs w:val="24"/>
          <w:lang w:eastAsia="es-CO"/>
        </w:rPr>
        <w:t xml:space="preserve"> de patentes de invención y modelos de utilidad presentadas por las micro y pequeñas empresas formalmente constituidas que presenten el certificado expedido por el Aula de Propiedad Industrial (API) que acrediten su asistencia a los foros o eventos impartidos por la Superintendencia de Industria y Comercio en materia de propiedad industrial, gozarán del mismo descuento.</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El descuento otorgado por la presentación del certificado expedido por el Aula de Propiedad Industrial (API) aplicará solo para un (1) trámite por foro o evento académico de los arriba mencionados, radicado con posterioridad a la realización del evento.</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szCs w:val="24"/>
          <w:lang w:eastAsia="es-CO"/>
        </w:rPr>
        <w:t>Artículo 5º.</w:t>
      </w:r>
      <w:r w:rsidRPr="00267D96">
        <w:rPr>
          <w:rFonts w:eastAsia="Times New Roman" w:cs="Times New Roman"/>
          <w:szCs w:val="24"/>
          <w:lang w:eastAsia="es-CO"/>
        </w:rPr>
        <w:t xml:space="preserve"> Las tasas correspondientes a la presentación de solicitudes de registro de marcas o lemas comerciales de productos o servicios por una clase y por cada clase adicional en una misma solicitud y divisionales presentadas por: i) Personas naturales, ii) Micro y pequeñas empresas formalmente constituidas, iii) Universidades públicas o privadas reconocidas por el Ministerio de Educación Nacional de la República de Colombia, o iv) Entidades registradas ante la Cámara de Comercio cuyo objeto consista en el desarrollo de investigación científica y tecnológica, que presenten el certificado expedido por el CIGEPI o por un Centro </w:t>
      </w:r>
      <w:r w:rsidRPr="00267D96">
        <w:rPr>
          <w:rFonts w:eastAsia="Times New Roman" w:cs="Times New Roman"/>
          <w:szCs w:val="24"/>
          <w:lang w:eastAsia="es-CO"/>
        </w:rPr>
        <w:lastRenderedPageBreak/>
        <w:t>de Apoyo a la Tecnología y la Innovación (CATI) en el que se acredite haber recibido orientación en materia de propiedad industrial con anterioridad a la presentación de la solicitud y dentro del término de los dos (2) meses siguientes a la fecha de expedición del mismo, tendrán un descuento del diez por ciento (10%) a las tasas establecidas para estas actuaciones en la presente resolución. Este descuento no es acumulable con el descuento establecido en el artículo 4° de esta resolución.</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xml:space="preserve">Las tasas correspondientes a la presentación de solicitudes de diseños industriales y esquemas de trazado de circuitos integrados, las solicitudes de examen de </w:t>
      </w:r>
      <w:proofErr w:type="spellStart"/>
      <w:r w:rsidRPr="00267D96">
        <w:rPr>
          <w:rFonts w:eastAsia="Times New Roman" w:cs="Times New Roman"/>
          <w:szCs w:val="24"/>
          <w:lang w:eastAsia="es-CO"/>
        </w:rPr>
        <w:t>patentabilidad</w:t>
      </w:r>
      <w:proofErr w:type="spellEnd"/>
      <w:r w:rsidRPr="00267D96">
        <w:rPr>
          <w:rFonts w:eastAsia="Times New Roman" w:cs="Times New Roman"/>
          <w:szCs w:val="24"/>
          <w:lang w:eastAsia="es-CO"/>
        </w:rPr>
        <w:t xml:space="preserve"> de patentes de invención y modelos de utilidad y los servicios de búsquedas e informes de vigilancia tecnológica solicitados por: i) Personas naturales; ii) micros y pequeñas empresas formalmente constituidas; iii) Universidades públicas o privadas reconocidas por el Ministerio de Educación Nacional de la República de Colombia, o iv) Entidades registradas ante la Cámara de Comercio cuyo objeto consista en el desarrollo de investigación científica y tecnológica, que presenten el certificado expedido por el CIGEPI o un Centro de Apoyo a la Tecnología y la Innovación (CATI) en el que se acredite haber recibido orientación en materia de propiedad industrial con anterioridad a la presentación de la solicitud, tendrán un descuento del diez por ciento (10%) adicional al establecido en el artículo 3°; asimismo, no será acumulable con el descuento establecido en el artículo 4° de esta resolución.</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szCs w:val="24"/>
          <w:lang w:eastAsia="es-CO"/>
        </w:rPr>
        <w:t>Artículo 6º.</w:t>
      </w:r>
      <w:r w:rsidRPr="00267D96">
        <w:rPr>
          <w:rFonts w:eastAsia="Times New Roman" w:cs="Times New Roman"/>
          <w:szCs w:val="24"/>
          <w:lang w:eastAsia="es-CO"/>
        </w:rPr>
        <w:t xml:space="preserve"> La presente resolución rige a partir del primero (1o) de enero de 2016.</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szCs w:val="24"/>
          <w:lang w:eastAsia="es-CO"/>
        </w:rPr>
        <w:t>Publíquese y cúmplase.</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Dada en Bogotá, D. C., a 29 de septiembre de 2015.</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szCs w:val="24"/>
          <w:lang w:eastAsia="es-CO"/>
        </w:rPr>
        <w:t> </w:t>
      </w:r>
    </w:p>
    <w:p w:rsidR="00267D96" w:rsidRPr="00267D96" w:rsidRDefault="00267D96" w:rsidP="00267D96">
      <w:pPr>
        <w:adjustRightInd w:val="0"/>
        <w:spacing w:after="0" w:line="240" w:lineRule="auto"/>
        <w:jc w:val="both"/>
        <w:rPr>
          <w:rFonts w:eastAsia="Times New Roman" w:cs="Times New Roman"/>
          <w:szCs w:val="24"/>
          <w:lang w:eastAsia="es-CO"/>
        </w:rPr>
      </w:pPr>
      <w:r w:rsidRPr="00267D96">
        <w:rPr>
          <w:rFonts w:eastAsia="Times New Roman" w:cs="Times New Roman"/>
          <w:b/>
          <w:szCs w:val="24"/>
          <w:lang w:eastAsia="es-CO"/>
        </w:rPr>
        <w:t>El Secretario General,</w:t>
      </w:r>
    </w:p>
    <w:p w:rsidR="00267D96" w:rsidRPr="00267D96" w:rsidRDefault="00267D96" w:rsidP="00267D96">
      <w:pPr>
        <w:spacing w:after="0" w:line="240" w:lineRule="auto"/>
        <w:jc w:val="right"/>
        <w:rPr>
          <w:rFonts w:eastAsia="Times New Roman" w:cs="Times New Roman"/>
          <w:szCs w:val="24"/>
          <w:lang w:eastAsia="es-CO"/>
        </w:rPr>
      </w:pPr>
      <w:r w:rsidRPr="00267D96">
        <w:rPr>
          <w:rFonts w:eastAsia="Times New Roman" w:cs="Times New Roman"/>
          <w:b/>
          <w:i/>
          <w:iCs/>
          <w:szCs w:val="24"/>
          <w:lang w:eastAsia="es-CO"/>
        </w:rPr>
        <w:t> </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i/>
          <w:iCs/>
          <w:szCs w:val="24"/>
          <w:lang w:eastAsia="es-CO"/>
        </w:rPr>
        <w:t>Luis Javier Castellanos Sandoval.</w:t>
      </w:r>
    </w:p>
    <w:p w:rsidR="00267D96" w:rsidRPr="00267D96" w:rsidRDefault="00267D96" w:rsidP="00267D96">
      <w:pPr>
        <w:spacing w:after="0" w:line="240" w:lineRule="auto"/>
        <w:jc w:val="both"/>
        <w:rPr>
          <w:rFonts w:eastAsia="Times New Roman" w:cs="Times New Roman"/>
          <w:szCs w:val="24"/>
          <w:lang w:eastAsia="es-CO"/>
        </w:rPr>
      </w:pPr>
      <w:r w:rsidRPr="00267D96">
        <w:rPr>
          <w:rFonts w:eastAsia="Times New Roman" w:cs="Times New Roman"/>
          <w:i/>
          <w:iCs/>
          <w:szCs w:val="24"/>
          <w:lang w:eastAsia="es-CO"/>
        </w:rPr>
        <w:t> </w:t>
      </w:r>
    </w:p>
    <w:p w:rsidR="00267D96" w:rsidRDefault="00267D96" w:rsidP="00267D96">
      <w:pPr>
        <w:spacing w:after="0" w:line="240" w:lineRule="auto"/>
        <w:jc w:val="both"/>
        <w:rPr>
          <w:rFonts w:eastAsia="Times New Roman" w:cs="Times New Roman"/>
          <w:b/>
          <w:iCs/>
          <w:sz w:val="20"/>
          <w:lang w:eastAsia="es-CO"/>
        </w:rPr>
      </w:pPr>
      <w:r w:rsidRPr="00267D96">
        <w:rPr>
          <w:rFonts w:eastAsia="Times New Roman" w:cs="Times New Roman"/>
          <w:b/>
          <w:iCs/>
          <w:sz w:val="20"/>
          <w:lang w:eastAsia="es-CO"/>
        </w:rPr>
        <w:t>Publicada en D.O. 49.662 del 11 de octubre de 2015.</w:t>
      </w:r>
    </w:p>
    <w:p w:rsidR="00267D96" w:rsidRPr="00267D96" w:rsidRDefault="00267D96" w:rsidP="00267D96">
      <w:pPr>
        <w:spacing w:after="0" w:line="240" w:lineRule="auto"/>
        <w:jc w:val="both"/>
        <w:rPr>
          <w:rFonts w:eastAsia="Times New Roman" w:cs="Times New Roman"/>
          <w:szCs w:val="24"/>
          <w:lang w:eastAsia="es-CO"/>
        </w:rPr>
      </w:pPr>
      <w:r>
        <w:rPr>
          <w:rFonts w:eastAsia="Times New Roman" w:cs="Times New Roman"/>
          <w:b/>
          <w:iCs/>
          <w:sz w:val="20"/>
          <w:lang w:eastAsia="es-CO"/>
        </w:rPr>
        <w:br/>
        <w:t>________________________________________________________________________________________</w:t>
      </w:r>
    </w:p>
    <w:p w:rsidR="00267D96" w:rsidRPr="00267D96" w:rsidRDefault="00267D96" w:rsidP="00267D96">
      <w:pPr>
        <w:spacing w:before="100" w:beforeAutospacing="1" w:after="100" w:afterAutospacing="1" w:line="240" w:lineRule="auto"/>
        <w:jc w:val="both"/>
        <w:rPr>
          <w:rFonts w:eastAsia="Times New Roman" w:cs="Times New Roman"/>
          <w:szCs w:val="24"/>
          <w:lang w:eastAsia="es-CO"/>
        </w:rPr>
      </w:pPr>
      <w:r w:rsidRPr="00267D96">
        <w:rPr>
          <w:rFonts w:eastAsia="Times New Roman" w:cs="Times New Roman"/>
          <w:szCs w:val="24"/>
          <w:lang w:eastAsia="es-CO"/>
        </w:rPr>
        <w:t> </w:t>
      </w:r>
    </w:p>
    <w:p w:rsidR="00961BFA" w:rsidRPr="00267D96" w:rsidRDefault="00961BFA">
      <w:pPr>
        <w:rPr>
          <w:rFonts w:cs="Times New Roman"/>
        </w:rPr>
      </w:pPr>
    </w:p>
    <w:sectPr w:rsidR="00961BFA" w:rsidRPr="00267D9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96"/>
    <w:rsid w:val="00267D96"/>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4C797-E99E-4B54-A338-23438860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67D96"/>
  </w:style>
  <w:style w:type="paragraph" w:customStyle="1" w:styleId="pa11">
    <w:name w:val="pa11"/>
    <w:basedOn w:val="Normal"/>
    <w:rsid w:val="00267D96"/>
    <w:pPr>
      <w:spacing w:before="100" w:beforeAutospacing="1" w:after="100" w:afterAutospacing="1" w:line="240" w:lineRule="auto"/>
    </w:pPr>
    <w:rPr>
      <w:rFonts w:eastAsia="Times New Roman" w:cs="Times New Roman"/>
      <w:szCs w:val="24"/>
      <w:lang w:eastAsia="es-CO"/>
    </w:rPr>
  </w:style>
  <w:style w:type="paragraph" w:customStyle="1" w:styleId="pa12">
    <w:name w:val="pa12"/>
    <w:basedOn w:val="Normal"/>
    <w:rsid w:val="00267D96"/>
    <w:pPr>
      <w:spacing w:before="100" w:beforeAutospacing="1" w:after="100" w:afterAutospacing="1" w:line="240" w:lineRule="auto"/>
    </w:pPr>
    <w:rPr>
      <w:rFonts w:eastAsia="Times New Roman" w:cs="Times New Roman"/>
      <w:szCs w:val="24"/>
      <w:lang w:eastAsia="es-CO"/>
    </w:rPr>
  </w:style>
  <w:style w:type="paragraph" w:customStyle="1" w:styleId="pa10">
    <w:name w:val="pa10"/>
    <w:basedOn w:val="Normal"/>
    <w:rsid w:val="00267D96"/>
    <w:pPr>
      <w:spacing w:before="100" w:beforeAutospacing="1" w:after="100" w:afterAutospacing="1" w:line="240" w:lineRule="auto"/>
    </w:pPr>
    <w:rPr>
      <w:rFonts w:eastAsia="Times New Roman" w:cs="Times New Roman"/>
      <w:szCs w:val="24"/>
      <w:lang w:eastAsia="es-CO"/>
    </w:rPr>
  </w:style>
  <w:style w:type="paragraph" w:customStyle="1" w:styleId="pa9">
    <w:name w:val="pa9"/>
    <w:basedOn w:val="Normal"/>
    <w:rsid w:val="00267D96"/>
    <w:pPr>
      <w:spacing w:before="100" w:beforeAutospacing="1" w:after="100" w:afterAutospacing="1" w:line="240" w:lineRule="auto"/>
    </w:pPr>
    <w:rPr>
      <w:rFonts w:eastAsia="Times New Roman" w:cs="Times New Roman"/>
      <w:szCs w:val="24"/>
      <w:lang w:eastAsia="es-CO"/>
    </w:rPr>
  </w:style>
  <w:style w:type="character" w:customStyle="1" w:styleId="a5">
    <w:name w:val="a5"/>
    <w:basedOn w:val="Fuentedeprrafopredeter"/>
    <w:rsid w:val="00267D96"/>
  </w:style>
  <w:style w:type="paragraph" w:customStyle="1" w:styleId="pa5">
    <w:name w:val="pa5"/>
    <w:basedOn w:val="Normal"/>
    <w:rsid w:val="00267D96"/>
    <w:pPr>
      <w:spacing w:before="100" w:beforeAutospacing="1" w:after="100" w:afterAutospacing="1" w:line="240" w:lineRule="auto"/>
    </w:pPr>
    <w:rPr>
      <w:rFonts w:eastAsia="Times New Roman" w:cs="Times New Roman"/>
      <w:szCs w:val="24"/>
      <w:lang w:eastAsia="es-CO"/>
    </w:rPr>
  </w:style>
  <w:style w:type="paragraph" w:customStyle="1" w:styleId="pa6">
    <w:name w:val="pa6"/>
    <w:basedOn w:val="Normal"/>
    <w:rsid w:val="00267D96"/>
    <w:pPr>
      <w:spacing w:before="100" w:beforeAutospacing="1" w:after="100" w:afterAutospacing="1" w:line="240" w:lineRule="auto"/>
    </w:pPr>
    <w:rPr>
      <w:rFonts w:eastAsia="Times New Roman" w:cs="Times New Roman"/>
      <w:szCs w:val="24"/>
      <w:lang w:eastAsia="es-CO"/>
    </w:rPr>
  </w:style>
  <w:style w:type="paragraph" w:customStyle="1" w:styleId="pa8">
    <w:name w:val="pa8"/>
    <w:basedOn w:val="Normal"/>
    <w:rsid w:val="00267D96"/>
    <w:pPr>
      <w:spacing w:before="100" w:beforeAutospacing="1" w:after="100" w:afterAutospacing="1" w:line="240" w:lineRule="auto"/>
    </w:pPr>
    <w:rPr>
      <w:rFonts w:eastAsia="Times New Roman" w:cs="Times New Roman"/>
      <w:szCs w:val="24"/>
      <w:lang w:eastAsia="es-CO"/>
    </w:rPr>
  </w:style>
  <w:style w:type="paragraph" w:customStyle="1" w:styleId="pa7">
    <w:name w:val="pa7"/>
    <w:basedOn w:val="Normal"/>
    <w:rsid w:val="00267D96"/>
    <w:pPr>
      <w:spacing w:before="100" w:beforeAutospacing="1" w:after="100" w:afterAutospacing="1" w:line="240" w:lineRule="auto"/>
    </w:pPr>
    <w:rPr>
      <w:rFonts w:eastAsia="Times New Roman" w:cs="Times New Roman"/>
      <w:szCs w:val="24"/>
      <w:lang w:eastAsia="es-CO"/>
    </w:rPr>
  </w:style>
  <w:style w:type="paragraph" w:styleId="NormalWeb">
    <w:name w:val="Normal (Web)"/>
    <w:basedOn w:val="Normal"/>
    <w:uiPriority w:val="99"/>
    <w:semiHidden/>
    <w:unhideWhenUsed/>
    <w:rsid w:val="00267D96"/>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4035</Words>
  <Characters>22195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2015-10-18T16:39:00Z</dcterms:created>
  <dcterms:modified xsi:type="dcterms:W3CDTF">2015-10-18T16:42:00Z</dcterms:modified>
</cp:coreProperties>
</file>